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国际玉石交易中心文旅项目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/>
        </w:rPr>
        <w:t>概念性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建筑设计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/>
        </w:rPr>
        <w:t>方案设计任务书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国际玉石交易中心文旅项目现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诚意征集贵公司对该项目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作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出设计方案。设计任务书及相关内容如下：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  <w:t>一、项目背景及概况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见征集公告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  <w:t>二、方案要求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见征集公告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设计深度可参考《建筑工程设计文件编制深度规定》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  <w:t>三、设计方案提交周期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以既定时间为准，本次设计周期时间为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30日历天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设计成果的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具体递交时间为202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9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9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日1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5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:00前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以征集公告为准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  <w:t>四、设计要求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设计方案应立意新颖、构思巧妙，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要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充分考虑玉石交易、产业配套 、滨水商业、文旅元素等功能，对位置、交通、展示、功能使用等各方面需求，做到布局合理，功能组团明确、交通动线清晰；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建筑单体要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以国际视野为基准，整体富有冲击力与标识性。风格不限，但宜结合玉文化元素提出有创造性、与文脉结合的设计风格；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景观设计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根据现状情况，综合场地特征，重点对公共空间、水系、各个业态功能的串联关系进行规划设计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设计方案须体现城市文脉，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底蕴丰厚，端庄大气，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严禁贪大、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媚俗、求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洋、求怪，方案须符合国家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、行业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及地方现行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技术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规范、标准和法律法规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方案须符合政府对该地块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规划建设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的政策要求。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1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none"/>
          <w:lang w:val="en-US" w:bidi="ar-SA"/>
        </w:rPr>
        <w:t>五、规划条件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用地性质：商业用地；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用地面积：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项目用地约300亩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本地块除设计任务书明确指标外，控制性规划条件参考并满足《南阳市城市规划管理技术规定》(2022年版）等相关标准。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南阳开源投资发展集团有限公司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bidi="ar-SA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8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bidi="ar-SA"/>
        </w:rPr>
        <w:t>日</w:t>
      </w:r>
    </w:p>
    <w:p>
      <w:pPr>
        <w:jc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highlight w:val="none"/>
          <w:lang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highlight w:val="none"/>
          <w:lang w:eastAsia="zh-CN" w:bidi="ar"/>
        </w:rPr>
        <w:drawing>
          <wp:inline distT="0" distB="0" distL="114300" distR="114300">
            <wp:extent cx="5270500" cy="2947035"/>
            <wp:effectExtent l="0" t="0" r="6350" b="5715"/>
            <wp:docPr id="2" name="图片 2" descr="566778879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67788798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/>
        <w:jc w:val="center"/>
        <w:textAlignment w:val="auto"/>
        <w:rPr>
          <w:rFonts w:ascii="微软雅黑" w:hAnsi="微软雅黑" w:eastAsia="微软雅黑" w:cs="微软雅黑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黑体" w:hAnsi="黑体" w:eastAsia="黑体" w:cs="黑体"/>
          <w:color w:val="auto"/>
          <w:kern w:val="2"/>
          <w:sz w:val="28"/>
          <w:szCs w:val="28"/>
          <w:highlight w:val="none"/>
          <w:lang w:val="en-US" w:eastAsia="zh-CN" w:bidi="ar-SA"/>
        </w:rPr>
        <w:t>（图一：镇平石佛寺专业市场分布图）</w:t>
      </w:r>
    </w:p>
    <w:p>
      <w:pPr>
        <w:pStyle w:val="3"/>
        <w:ind w:firstLine="0" w:firstLineChars="0"/>
        <w:jc w:val="center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highlight w:val="none"/>
          <w:lang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highlight w:val="none"/>
          <w:lang w:eastAsia="zh-CN" w:bidi="ar"/>
        </w:rPr>
        <w:drawing>
          <wp:inline distT="0" distB="0" distL="114300" distR="114300">
            <wp:extent cx="5271135" cy="3707130"/>
            <wp:effectExtent l="0" t="0" r="5715" b="7620"/>
            <wp:docPr id="1" name="图片 1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8"/>
          <w:szCs w:val="28"/>
          <w:highlight w:val="none"/>
          <w:lang w:val="en-US" w:eastAsia="zh-CN" w:bidi="ar-SA"/>
        </w:rPr>
        <w:t>（图二：镇平国际玉商港用地范围示意图）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4E47"/>
    <w:rsid w:val="1FB802E2"/>
    <w:rsid w:val="2B3F24EB"/>
    <w:rsid w:val="766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2023-08-02T08:39:00Z</dcterms:created>
  <dc:creator>zdm</dc:creator>
  <cp:lastModifiedBy>zdm</cp:lastModifiedBy>
  <dcterms:modified xsi:type="dcterms:W3CDTF">2023-08-02T08:42:43Z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